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E" w:rsidRDefault="001F200E" w:rsidP="001F200E">
      <w:pPr>
        <w:tabs>
          <w:tab w:val="left" w:pos="5670"/>
        </w:tabs>
        <w:rPr>
          <w:sz w:val="24"/>
        </w:rPr>
      </w:pPr>
    </w:p>
    <w:tbl>
      <w:tblPr>
        <w:tblW w:w="9568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1288"/>
        <w:gridCol w:w="8280"/>
      </w:tblGrid>
      <w:tr w:rsidR="00FF1324" w:rsidRPr="004B6626" w:rsidTr="00614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FF1324" w:rsidRPr="0076091A" w:rsidRDefault="00FF1324" w:rsidP="00614049">
            <w:pPr>
              <w:ind w:left="180"/>
              <w:jc w:val="center"/>
              <w:rPr>
                <w:rFonts w:ascii="Verdana" w:hAnsi="Verdana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FF1324" w:rsidRPr="0076091A" w:rsidRDefault="001855FE" w:rsidP="00614049">
            <w:pPr>
              <w:spacing w:line="252" w:lineRule="auto"/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463550" cy="5270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324" w:rsidRPr="004B6626" w:rsidTr="0061404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F1324" w:rsidRPr="0076091A" w:rsidRDefault="001855FE" w:rsidP="00614049">
            <w:pPr>
              <w:ind w:left="180"/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19050" t="0" r="3810" b="0"/>
                  <wp:wrapTight wrapText="bothSides">
                    <wp:wrapPolygon edited="0">
                      <wp:start x="-603" y="0"/>
                      <wp:lineTo x="-603" y="21039"/>
                      <wp:lineTo x="21721" y="21039"/>
                      <wp:lineTo x="21721" y="0"/>
                      <wp:lineTo x="-603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324" w:rsidRPr="0076091A" w:rsidRDefault="00FF1324" w:rsidP="00614049">
            <w:pPr>
              <w:spacing w:line="252" w:lineRule="auto"/>
              <w:ind w:left="38"/>
              <w:jc w:val="center"/>
              <w:rPr>
                <w:rFonts w:ascii="Verdana" w:hAnsi="Verdana"/>
                <w:sz w:val="18"/>
                <w:szCs w:val="18"/>
              </w:rPr>
            </w:pPr>
            <w:r w:rsidRPr="0076091A">
              <w:rPr>
                <w:rFonts w:ascii="Verdana" w:hAnsi="Verdana"/>
                <w:sz w:val="18"/>
                <w:szCs w:val="18"/>
              </w:rPr>
              <w:t>MINISTERO DELL’ISTRUZIONE, DELL’UNIVERSITÀ E DELLA RICERCA</w:t>
            </w:r>
          </w:p>
          <w:p w:rsidR="00FF1324" w:rsidRPr="0076091A" w:rsidRDefault="00FF1324" w:rsidP="00614049">
            <w:pPr>
              <w:spacing w:line="252" w:lineRule="auto"/>
              <w:ind w:left="38"/>
              <w:jc w:val="center"/>
              <w:rPr>
                <w:rFonts w:ascii="Verdana" w:hAnsi="Verdana"/>
                <w:sz w:val="18"/>
                <w:szCs w:val="18"/>
              </w:rPr>
            </w:pPr>
            <w:r w:rsidRPr="0076091A">
              <w:rPr>
                <w:rFonts w:ascii="Verdana" w:hAnsi="Verdana"/>
                <w:sz w:val="18"/>
                <w:szCs w:val="18"/>
              </w:rPr>
              <w:t>UFFICIO SCOLASTICO REGIONALE PER IL VENETO</w:t>
            </w:r>
          </w:p>
          <w:p w:rsidR="00FF1324" w:rsidRPr="0076091A" w:rsidRDefault="00FF1324" w:rsidP="00614049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sz w:val="18"/>
                <w:szCs w:val="18"/>
              </w:rPr>
              <w:t>DIREZIONE GENERALE</w:t>
            </w:r>
          </w:p>
          <w:p w:rsidR="00FF1324" w:rsidRPr="0076091A" w:rsidRDefault="00FF1324" w:rsidP="00614049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Ufficio 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–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Sede di Mestre</w:t>
            </w:r>
          </w:p>
          <w:p w:rsidR="00FF1324" w:rsidRPr="004718E1" w:rsidRDefault="00FF1324" w:rsidP="006140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8E1">
              <w:rPr>
                <w:rFonts w:ascii="Verdana" w:hAnsi="Verdana"/>
                <w:sz w:val="18"/>
                <w:szCs w:val="18"/>
              </w:rPr>
              <w:t xml:space="preserve">Via </w:t>
            </w:r>
            <w:r>
              <w:rPr>
                <w:rFonts w:ascii="Verdana" w:hAnsi="Verdana"/>
                <w:sz w:val="18"/>
                <w:szCs w:val="18"/>
              </w:rPr>
              <w:t>L.A.</w:t>
            </w:r>
            <w:r w:rsidRPr="004718E1">
              <w:rPr>
                <w:rFonts w:ascii="Verdana" w:hAnsi="Verdana"/>
                <w:sz w:val="18"/>
                <w:szCs w:val="18"/>
              </w:rPr>
              <w:t xml:space="preserve"> Muratori, 5 – 30173 Mestre (VE)</w:t>
            </w:r>
          </w:p>
        </w:tc>
      </w:tr>
    </w:tbl>
    <w:p w:rsidR="00FF1324" w:rsidRPr="0006187C" w:rsidRDefault="00FF1324" w:rsidP="00FF1324">
      <w:pPr>
        <w:jc w:val="center"/>
      </w:pPr>
      <w:r>
        <w:t xml:space="preserve">              codice fiscale  80011290279</w:t>
      </w:r>
    </w:p>
    <w:p w:rsidR="00FF1324" w:rsidRPr="00741B84" w:rsidRDefault="00FF1324" w:rsidP="00FF1324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741B84">
        <w:rPr>
          <w:rFonts w:ascii="Verdana" w:hAnsi="Verdana"/>
          <w:sz w:val="18"/>
          <w:szCs w:val="18"/>
        </w:rPr>
        <w:t>Gestione Amministrativa I</w:t>
      </w:r>
    </w:p>
    <w:p w:rsidR="00FF1324" w:rsidRPr="00741B84" w:rsidRDefault="00FF1324" w:rsidP="00FF1324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741B84">
        <w:rPr>
          <w:rFonts w:ascii="Verdana" w:hAnsi="Verdana"/>
          <w:sz w:val="18"/>
          <w:szCs w:val="18"/>
        </w:rPr>
        <w:t>Secondarie II grado</w:t>
      </w:r>
      <w:r w:rsidR="00247F06">
        <w:rPr>
          <w:rFonts w:ascii="Verdana" w:hAnsi="Verdana"/>
          <w:sz w:val="18"/>
          <w:szCs w:val="18"/>
        </w:rPr>
        <w:t xml:space="preserve"> prot. 7302</w:t>
      </w:r>
    </w:p>
    <w:p w:rsidR="00F73841" w:rsidRPr="00CD2208" w:rsidRDefault="00FF1324" w:rsidP="001F200E">
      <w:pPr>
        <w:tabs>
          <w:tab w:val="left" w:pos="5670"/>
        </w:tabs>
      </w:pPr>
      <w:r w:rsidRPr="00CD2208">
        <w:rPr>
          <w:rFonts w:ascii="Arial" w:hAnsi="Arial"/>
        </w:rPr>
        <w:t xml:space="preserve">                                                              </w:t>
      </w:r>
      <w:r w:rsidR="00CD2208" w:rsidRPr="00CD2208">
        <w:rPr>
          <w:rFonts w:ascii="Arial" w:hAnsi="Arial"/>
        </w:rPr>
        <w:t xml:space="preserve">                    </w:t>
      </w:r>
      <w:r w:rsidRPr="00CD2208">
        <w:rPr>
          <w:rFonts w:ascii="Arial" w:hAnsi="Arial"/>
        </w:rPr>
        <w:t xml:space="preserve">    </w:t>
      </w:r>
      <w:r w:rsidR="00CD2208">
        <w:rPr>
          <w:rFonts w:ascii="Arial" w:hAnsi="Arial"/>
        </w:rPr>
        <w:t xml:space="preserve">                        </w:t>
      </w:r>
      <w:r w:rsidR="00F73841" w:rsidRPr="00CD2208">
        <w:rPr>
          <w:rFonts w:ascii="Arial" w:hAnsi="Arial"/>
        </w:rPr>
        <w:t xml:space="preserve">Venezia-Mestre, </w:t>
      </w:r>
      <w:r w:rsidR="00247F06">
        <w:rPr>
          <w:rFonts w:ascii="Arial" w:hAnsi="Arial"/>
        </w:rPr>
        <w:t>25/05/2016</w:t>
      </w:r>
    </w:p>
    <w:p w:rsidR="00CA5C21" w:rsidRDefault="00CA5C21">
      <w:pPr>
        <w:tabs>
          <w:tab w:val="left" w:pos="5670"/>
        </w:tabs>
        <w:jc w:val="both"/>
        <w:rPr>
          <w:sz w:val="24"/>
        </w:rPr>
      </w:pPr>
    </w:p>
    <w:p w:rsidR="000637AC" w:rsidRPr="00CD2208" w:rsidRDefault="000637AC" w:rsidP="000637AC">
      <w:pPr>
        <w:jc w:val="center"/>
      </w:pPr>
      <w:r w:rsidRPr="00CD2208">
        <w:t>IL DIRIGENTE</w:t>
      </w:r>
    </w:p>
    <w:p w:rsidR="000637AC" w:rsidRPr="00CD2208" w:rsidRDefault="000637AC" w:rsidP="000637AC">
      <w:pPr>
        <w:jc w:val="both"/>
        <w:rPr>
          <w:b/>
        </w:rPr>
      </w:pPr>
    </w:p>
    <w:p w:rsidR="00FF1324" w:rsidRPr="00CD2208" w:rsidRDefault="00FF1324" w:rsidP="008C5BE4">
      <w:pPr>
        <w:ind w:left="993" w:hanging="993"/>
        <w:jc w:val="both"/>
      </w:pPr>
      <w:r w:rsidRPr="00CD2208">
        <w:t xml:space="preserve">VISTA </w:t>
      </w:r>
      <w:r w:rsidR="00CD2208">
        <w:t xml:space="preserve">  </w:t>
      </w:r>
      <w:r w:rsidRPr="00CD2208">
        <w:t xml:space="preserve">  l’ipotesi di CCNI concernente l</w:t>
      </w:r>
      <w:r w:rsidR="00A8734B">
        <w:t>a mobilità del personale della scuola</w:t>
      </w:r>
      <w:r w:rsidRPr="00CD2208">
        <w:t xml:space="preserve"> per l’a.s. 1</w:t>
      </w:r>
      <w:r w:rsidR="00A8734B">
        <w:t>6</w:t>
      </w:r>
      <w:r w:rsidRPr="00CD2208">
        <w:t>/1</w:t>
      </w:r>
      <w:r w:rsidR="00A8734B">
        <w:t>7 sottoscritto in data 10/02/2016</w:t>
      </w:r>
      <w:r w:rsidRPr="00CD2208">
        <w:t>;</w:t>
      </w:r>
    </w:p>
    <w:p w:rsidR="00E81C3A" w:rsidRPr="00CD2208" w:rsidRDefault="00A8734B" w:rsidP="008C5BE4">
      <w:pPr>
        <w:ind w:left="993" w:hanging="993"/>
        <w:jc w:val="both"/>
      </w:pPr>
      <w:r>
        <w:t>VISTO       in particolare l’art. 7 –rientri assegnazioni e restituzioni al ruolo di provenienza e personale della D.O.S.</w:t>
      </w:r>
      <w:r w:rsidR="00F56E68" w:rsidRPr="00CD2208">
        <w:t>;</w:t>
      </w:r>
    </w:p>
    <w:p w:rsidR="00FF1324" w:rsidRDefault="00A8734B" w:rsidP="008C5BE4">
      <w:pPr>
        <w:ind w:left="993" w:hanging="993"/>
        <w:jc w:val="both"/>
      </w:pPr>
      <w:r>
        <w:t xml:space="preserve">VISTA       la nota prot. n. 5123del 22/03/2016 con cui l’USR per il Veneto-Direzione Generale-Ufficio III ha dettato </w:t>
      </w:r>
      <w:r w:rsidR="00B35D85">
        <w:t>disposizioni in merito alle operazioni preliminari all’avvio della mobilità per l’a.s. 2016/2017 con particolare riferimento alle suddette ipotesi;</w:t>
      </w:r>
    </w:p>
    <w:p w:rsidR="00B35D85" w:rsidRPr="00CD2208" w:rsidRDefault="00B35D85" w:rsidP="008C5BE4">
      <w:pPr>
        <w:ind w:left="993" w:hanging="993"/>
        <w:jc w:val="both"/>
      </w:pPr>
      <w:r>
        <w:t xml:space="preserve">VISTO    </w:t>
      </w:r>
      <w:r w:rsidR="00247F06">
        <w:t xml:space="preserve"> </w:t>
      </w:r>
      <w:r>
        <w:t xml:space="preserve"> l’AVVISO</w:t>
      </w:r>
      <w:r w:rsidR="00247F06">
        <w:t>-Operazioni preliminari all’avvio della mobilità,</w:t>
      </w:r>
      <w:r>
        <w:t xml:space="preserve"> pubblicato in data 25/03/2016 sul sito di questo ufficio; </w:t>
      </w:r>
    </w:p>
    <w:p w:rsidR="00F56E68" w:rsidRPr="00CD2208" w:rsidRDefault="004B5D5B" w:rsidP="008C5BE4">
      <w:pPr>
        <w:ind w:left="993" w:hanging="993"/>
        <w:jc w:val="both"/>
      </w:pPr>
      <w:r>
        <w:t xml:space="preserve">VISTE      le domande </w:t>
      </w:r>
      <w:r w:rsidR="00F562D1">
        <w:t xml:space="preserve">pervenute </w:t>
      </w:r>
      <w:r>
        <w:t>dei</w:t>
      </w:r>
      <w:r w:rsidR="00F56E68" w:rsidRPr="00CD2208">
        <w:t xml:space="preserve"> docenti titolari su</w:t>
      </w:r>
      <w:r w:rsidR="00B35D85">
        <w:t>lla</w:t>
      </w:r>
      <w:r w:rsidR="00F56E68" w:rsidRPr="00CD2208">
        <w:t xml:space="preserve"> D.O.S.</w:t>
      </w:r>
      <w:r w:rsidR="00B35D85">
        <w:t xml:space="preserve"> intese ad ottenere la titolarità nell’istituto in cui prestano servizio</w:t>
      </w:r>
      <w:r>
        <w:t xml:space="preserve"> (nella provincia)</w:t>
      </w:r>
      <w:r w:rsidR="00B35D85">
        <w:t xml:space="preserve"> nell’a.s. in corso</w:t>
      </w:r>
      <w:r w:rsidR="00F56E68" w:rsidRPr="00CD2208">
        <w:t>;</w:t>
      </w:r>
    </w:p>
    <w:p w:rsidR="00040BFD" w:rsidRPr="00CD2208" w:rsidRDefault="00247EF8" w:rsidP="008C5BE4">
      <w:pPr>
        <w:ind w:left="993" w:hanging="993"/>
        <w:jc w:val="both"/>
      </w:pPr>
      <w:r>
        <w:t xml:space="preserve">VISTA la successiva nota dell’ USR-Veneto ufficio III prot. n. 8210 del 20/04/2016 relativa ai </w:t>
      </w:r>
      <w:r w:rsidR="00040BFD">
        <w:t>docenti DOS neo immessi in ruolo (a.s. 2015/16</w:t>
      </w:r>
      <w:r>
        <w:t xml:space="preserve"> fase 0 e fase A</w:t>
      </w:r>
      <w:r w:rsidR="00040BFD">
        <w:t>)</w:t>
      </w:r>
      <w:r w:rsidR="00614840">
        <w:t>;</w:t>
      </w:r>
    </w:p>
    <w:p w:rsidR="000637AC" w:rsidRPr="00CD2208" w:rsidRDefault="008C5BE4" w:rsidP="008C5BE4">
      <w:pPr>
        <w:jc w:val="both"/>
      </w:pPr>
      <w:r w:rsidRPr="00CD2208">
        <w:t>VI</w:t>
      </w:r>
      <w:r w:rsidR="00247EF8">
        <w:t>STO l’organico di diritto relativo ai posti di sostegno assegnati per l’a.s. 2016/17;</w:t>
      </w:r>
    </w:p>
    <w:p w:rsidR="00247EF8" w:rsidRDefault="00247EF8" w:rsidP="00247EF8">
      <w:pPr>
        <w:ind w:left="993" w:hanging="993"/>
        <w:jc w:val="both"/>
      </w:pPr>
      <w:r w:rsidRPr="00CD2208">
        <w:t xml:space="preserve">CONSIDERATO che </w:t>
      </w:r>
      <w:r>
        <w:t xml:space="preserve">l’assegnazione della titolarità per il personale D.O.S. </w:t>
      </w:r>
      <w:r w:rsidRPr="00CD2208">
        <w:t>dev</w:t>
      </w:r>
      <w:r>
        <w:t>’essere</w:t>
      </w:r>
      <w:r w:rsidRPr="00CD2208">
        <w:t xml:space="preserve"> dispost</w:t>
      </w:r>
      <w:r>
        <w:t>a</w:t>
      </w:r>
      <w:r w:rsidRPr="00CD2208">
        <w:t xml:space="preserve"> senza considerare le aree disciplinari;</w:t>
      </w:r>
    </w:p>
    <w:p w:rsidR="00AB1CCE" w:rsidRPr="00247EF8" w:rsidRDefault="00247EF8" w:rsidP="000637AC">
      <w:pPr>
        <w:jc w:val="both"/>
      </w:pPr>
      <w:r w:rsidRPr="00247EF8">
        <w:t>CONSIDERATO</w:t>
      </w:r>
      <w:r>
        <w:t>,</w:t>
      </w:r>
      <w:r w:rsidRPr="00247EF8">
        <w:t xml:space="preserve"> infine, che ai sensi del c. 2 dell’art.7 del CCNI sulla mobilità, l’assegnazione della titolarità può avvenire esclusivamente nella scuola di servizio a.s. 2015/16 </w:t>
      </w:r>
      <w:r w:rsidR="00247F06">
        <w:t xml:space="preserve">e </w:t>
      </w:r>
      <w:r w:rsidRPr="00247EF8">
        <w:t>solo se il posto risulta disponibile in organico di diritto 2016/17;</w:t>
      </w:r>
    </w:p>
    <w:p w:rsidR="000637AC" w:rsidRPr="003B44CA" w:rsidRDefault="000637AC" w:rsidP="000637AC">
      <w:pPr>
        <w:jc w:val="center"/>
        <w:rPr>
          <w:sz w:val="24"/>
          <w:szCs w:val="24"/>
        </w:rPr>
      </w:pPr>
      <w:r w:rsidRPr="003B44CA">
        <w:rPr>
          <w:sz w:val="24"/>
          <w:szCs w:val="24"/>
        </w:rPr>
        <w:t xml:space="preserve">D </w:t>
      </w:r>
      <w:r w:rsidR="0080035A" w:rsidRPr="003B44CA">
        <w:rPr>
          <w:sz w:val="24"/>
          <w:szCs w:val="24"/>
        </w:rPr>
        <w:t xml:space="preserve"> </w:t>
      </w:r>
      <w:r w:rsidR="00F03091">
        <w:rPr>
          <w:sz w:val="24"/>
          <w:szCs w:val="24"/>
        </w:rPr>
        <w:t>I  S  P  O  N  E</w:t>
      </w:r>
    </w:p>
    <w:p w:rsidR="000637AC" w:rsidRPr="003B44CA" w:rsidRDefault="000637AC" w:rsidP="000637AC">
      <w:pPr>
        <w:jc w:val="both"/>
        <w:rPr>
          <w:sz w:val="24"/>
          <w:szCs w:val="24"/>
        </w:rPr>
      </w:pPr>
    </w:p>
    <w:p w:rsidR="00F075BD" w:rsidRPr="00CD2208" w:rsidRDefault="00A8734B" w:rsidP="000637AC">
      <w:pPr>
        <w:jc w:val="both"/>
        <w:rPr>
          <w:sz w:val="22"/>
          <w:szCs w:val="22"/>
        </w:rPr>
      </w:pPr>
      <w:r>
        <w:rPr>
          <w:sz w:val="22"/>
          <w:szCs w:val="22"/>
        </w:rPr>
        <w:t>A decorrere dal 1.9.2016 a</w:t>
      </w:r>
      <w:r w:rsidR="00F075BD" w:rsidRPr="00CD2208">
        <w:rPr>
          <w:sz w:val="22"/>
          <w:szCs w:val="22"/>
        </w:rPr>
        <w:t xml:space="preserve">i </w:t>
      </w:r>
      <w:r w:rsidR="00F075BD" w:rsidRPr="00F562D1">
        <w:rPr>
          <w:b/>
          <w:sz w:val="22"/>
          <w:szCs w:val="22"/>
        </w:rPr>
        <w:t xml:space="preserve">docenti </w:t>
      </w:r>
      <w:r w:rsidR="008C5BE4" w:rsidRPr="00F562D1">
        <w:rPr>
          <w:b/>
          <w:sz w:val="22"/>
          <w:szCs w:val="22"/>
        </w:rPr>
        <w:t>titolari su Dotazione Organica Sostegno</w:t>
      </w:r>
      <w:r w:rsidR="008C5BE4" w:rsidRPr="00CD2208">
        <w:rPr>
          <w:sz w:val="22"/>
          <w:szCs w:val="22"/>
        </w:rPr>
        <w:t xml:space="preserve"> nella scuola secondaria di secondo grado,</w:t>
      </w:r>
      <w:r>
        <w:rPr>
          <w:sz w:val="22"/>
          <w:szCs w:val="22"/>
        </w:rPr>
        <w:t xml:space="preserve"> </w:t>
      </w:r>
      <w:r w:rsidR="008C5BE4" w:rsidRPr="00CD2208">
        <w:rPr>
          <w:sz w:val="22"/>
          <w:szCs w:val="22"/>
        </w:rPr>
        <w:t xml:space="preserve"> di cui all’allegato elenco</w:t>
      </w:r>
      <w:r w:rsidR="00DF6FA3" w:rsidRPr="00CD2208">
        <w:rPr>
          <w:sz w:val="22"/>
          <w:szCs w:val="22"/>
        </w:rPr>
        <w:t>,</w:t>
      </w:r>
      <w:r w:rsidR="00F075BD" w:rsidRPr="00CD2208">
        <w:rPr>
          <w:sz w:val="22"/>
          <w:szCs w:val="22"/>
        </w:rPr>
        <w:t xml:space="preserve"> parte integrante del presente decreto, </w:t>
      </w:r>
      <w:r w:rsidR="004B5D5B">
        <w:rPr>
          <w:sz w:val="22"/>
          <w:szCs w:val="22"/>
        </w:rPr>
        <w:t>è assegnata</w:t>
      </w:r>
      <w:r w:rsidR="00040BFD">
        <w:rPr>
          <w:sz w:val="22"/>
          <w:szCs w:val="22"/>
        </w:rPr>
        <w:t xml:space="preserve">, su espressa richiesta, </w:t>
      </w:r>
      <w:r w:rsidR="004B5D5B">
        <w:rPr>
          <w:sz w:val="22"/>
          <w:szCs w:val="22"/>
        </w:rPr>
        <w:t xml:space="preserve"> la titolarità nell’istituto</w:t>
      </w:r>
      <w:r w:rsidR="00247EF8">
        <w:rPr>
          <w:sz w:val="22"/>
          <w:szCs w:val="22"/>
        </w:rPr>
        <w:t xml:space="preserve"> sede di servizio (a.s. 2015/16)</w:t>
      </w:r>
      <w:r w:rsidR="004B5D5B">
        <w:rPr>
          <w:sz w:val="22"/>
          <w:szCs w:val="22"/>
        </w:rPr>
        <w:t xml:space="preserve"> </w:t>
      </w:r>
      <w:r w:rsidR="00F075BD" w:rsidRPr="00CD2208">
        <w:rPr>
          <w:sz w:val="22"/>
          <w:szCs w:val="22"/>
        </w:rPr>
        <w:t>indicat</w:t>
      </w:r>
      <w:r w:rsidR="004B5D5B">
        <w:rPr>
          <w:sz w:val="22"/>
          <w:szCs w:val="22"/>
        </w:rPr>
        <w:t>o</w:t>
      </w:r>
      <w:r w:rsidR="00F075BD" w:rsidRPr="00CD2208">
        <w:rPr>
          <w:sz w:val="22"/>
          <w:szCs w:val="22"/>
        </w:rPr>
        <w:t xml:space="preserve"> nell’elenco medesimo.</w:t>
      </w:r>
    </w:p>
    <w:p w:rsidR="000C5EC9" w:rsidRPr="00CD2208" w:rsidRDefault="000C5EC9" w:rsidP="000637AC">
      <w:pPr>
        <w:jc w:val="both"/>
        <w:rPr>
          <w:sz w:val="22"/>
          <w:szCs w:val="22"/>
        </w:rPr>
      </w:pPr>
    </w:p>
    <w:p w:rsidR="00F075BD" w:rsidRPr="00CD2208" w:rsidRDefault="00F075BD" w:rsidP="000637AC">
      <w:pPr>
        <w:jc w:val="both"/>
        <w:rPr>
          <w:sz w:val="22"/>
          <w:szCs w:val="22"/>
        </w:rPr>
      </w:pPr>
      <w:r w:rsidRPr="00CD2208">
        <w:rPr>
          <w:sz w:val="22"/>
          <w:szCs w:val="22"/>
        </w:rPr>
        <w:t xml:space="preserve">I Dirigente Scolastici </w:t>
      </w:r>
      <w:r w:rsidR="001C3C04" w:rsidRPr="00CD2208">
        <w:rPr>
          <w:sz w:val="22"/>
          <w:szCs w:val="22"/>
        </w:rPr>
        <w:t xml:space="preserve"> </w:t>
      </w:r>
      <w:r w:rsidRPr="00CD2208">
        <w:rPr>
          <w:sz w:val="22"/>
          <w:szCs w:val="22"/>
        </w:rPr>
        <w:t xml:space="preserve">notificheranno ai docenti </w:t>
      </w:r>
      <w:r w:rsidR="008C5BE4" w:rsidRPr="00CD2208">
        <w:rPr>
          <w:sz w:val="22"/>
          <w:szCs w:val="22"/>
        </w:rPr>
        <w:t xml:space="preserve">interessati </w:t>
      </w:r>
      <w:r w:rsidR="00F562D1">
        <w:rPr>
          <w:sz w:val="22"/>
          <w:szCs w:val="22"/>
        </w:rPr>
        <w:t>i</w:t>
      </w:r>
      <w:r w:rsidR="008C5BE4" w:rsidRPr="00CD2208">
        <w:rPr>
          <w:sz w:val="22"/>
          <w:szCs w:val="22"/>
        </w:rPr>
        <w:t xml:space="preserve">l </w:t>
      </w:r>
      <w:r w:rsidR="00F562D1">
        <w:rPr>
          <w:sz w:val="22"/>
          <w:szCs w:val="22"/>
        </w:rPr>
        <w:t>provvedimento</w:t>
      </w:r>
      <w:r w:rsidR="008C5BE4" w:rsidRPr="00CD2208">
        <w:rPr>
          <w:sz w:val="22"/>
          <w:szCs w:val="22"/>
        </w:rPr>
        <w:t>.</w:t>
      </w:r>
    </w:p>
    <w:p w:rsidR="00614049" w:rsidRDefault="00614049" w:rsidP="000637AC">
      <w:pPr>
        <w:jc w:val="both"/>
      </w:pPr>
    </w:p>
    <w:p w:rsidR="000637AC" w:rsidRPr="0075441C" w:rsidRDefault="00540507" w:rsidP="000637AC">
      <w:pPr>
        <w:jc w:val="both"/>
      </w:pPr>
      <w:r w:rsidRPr="0075441C">
        <w:t>Controversie individuali</w:t>
      </w:r>
      <w:r w:rsidR="00F562D1">
        <w:t xml:space="preserve"> art. 17</w:t>
      </w:r>
      <w:r w:rsidR="00662CFA">
        <w:t xml:space="preserve"> CCNI</w:t>
      </w:r>
      <w:r w:rsidR="00F562D1">
        <w:t xml:space="preserve"> </w:t>
      </w:r>
    </w:p>
    <w:p w:rsidR="0037049A" w:rsidRDefault="00833E54" w:rsidP="00833E54">
      <w:pPr>
        <w:jc w:val="both"/>
      </w:pPr>
      <w:r>
        <w:t>Sulle controver</w:t>
      </w:r>
      <w:r w:rsidR="00F562D1">
        <w:t xml:space="preserve">sie riguardanti la materia della mobilità in relazione agli atti che si ritengono lesivi dei propri diritti, gli interessati possono esperire le procedure previste dagli artt. </w:t>
      </w:r>
      <w:r>
        <w:t xml:space="preserve">135 (con esclusione del comma </w:t>
      </w:r>
      <w:smartTag w:uri="urn:schemas-microsoft-com:office:smarttags" w:element="metricconverter">
        <w:smartTagPr>
          <w:attr w:name="ProductID" w:val="2, in"/>
        </w:smartTagPr>
        <w:r>
          <w:t>2, in</w:t>
        </w:r>
      </w:smartTag>
      <w:r>
        <w:t xml:space="preserve"> quanto riferito esclusivamente alla mobilità definitiva), 136, 137 e 138 del C.C.N.L. del 29/11/2007</w:t>
      </w:r>
      <w:r w:rsidR="00F562D1">
        <w:t xml:space="preserve"> tenuto conto delle modifiche in materia di conciliazione ed arbitrato apportate dal codice di Procedura Civile dall’art. 31 della Legge n. 183/2010.</w:t>
      </w:r>
    </w:p>
    <w:p w:rsidR="00DF6FA3" w:rsidRDefault="00DF6FA3" w:rsidP="00DF6FA3">
      <w:pPr>
        <w:jc w:val="both"/>
      </w:pPr>
      <w:r>
        <w:t xml:space="preserve">                                                                                                 </w:t>
      </w:r>
    </w:p>
    <w:p w:rsidR="00DF6FA3" w:rsidRDefault="00F562D1" w:rsidP="00DF6FA3">
      <w:r>
        <w:t xml:space="preserve">                                                                                                                            </w:t>
      </w:r>
      <w:r w:rsidR="00A27DED">
        <w:t>F.to</w:t>
      </w:r>
      <w:r>
        <w:t xml:space="preserve">  IL DIRIGENTE</w:t>
      </w:r>
    </w:p>
    <w:p w:rsidR="00F562D1" w:rsidRDefault="00F562D1" w:rsidP="00DF6FA3">
      <w:r>
        <w:t xml:space="preserve">                                                                                                                          </w:t>
      </w:r>
      <w:r w:rsidR="00A27DED">
        <w:t xml:space="preserve">  </w:t>
      </w:r>
      <w:r>
        <w:t xml:space="preserve">  Domenico Martino</w:t>
      </w:r>
    </w:p>
    <w:p w:rsidR="00F562D1" w:rsidRDefault="00F562D1" w:rsidP="008C5BE4"/>
    <w:p w:rsidR="00F562D1" w:rsidRDefault="00F562D1" w:rsidP="008C5BE4"/>
    <w:p w:rsidR="008C5BE4" w:rsidRDefault="008C5BE4" w:rsidP="008C5BE4">
      <w:r>
        <w:t>Ai Dirigenti Scolastici</w:t>
      </w:r>
    </w:p>
    <w:p w:rsidR="008C5BE4" w:rsidRPr="000D6D8D" w:rsidRDefault="008C5BE4" w:rsidP="008C5BE4">
      <w:r>
        <w:t>Istituti Istr. Secondaria di II grado</w:t>
      </w:r>
      <w:r>
        <w:tab/>
      </w:r>
      <w:r>
        <w:tab/>
      </w:r>
      <w:r w:rsidRPr="000D6D8D">
        <w:t>LORO SEDI</w:t>
      </w:r>
    </w:p>
    <w:p w:rsidR="008C5BE4" w:rsidRPr="000D6D8D" w:rsidRDefault="008C5BE4" w:rsidP="008C5BE4">
      <w:r w:rsidRPr="00383B5B">
        <w:t xml:space="preserve">Alle OO.SS. </w:t>
      </w:r>
      <w:r w:rsidRPr="000D6D8D">
        <w:t>Scuola</w:t>
      </w:r>
      <w:r w:rsidR="00383B5B">
        <w:t xml:space="preserve"> della Provincia</w:t>
      </w:r>
      <w:r>
        <w:tab/>
        <w:t>LORO SEDI</w:t>
      </w:r>
    </w:p>
    <w:p w:rsidR="00A95341" w:rsidRDefault="00A95341" w:rsidP="008C5BE4">
      <w:pPr>
        <w:jc w:val="both"/>
        <w:rPr>
          <w:sz w:val="21"/>
        </w:rPr>
      </w:pPr>
    </w:p>
    <w:p w:rsidR="00F56E68" w:rsidRDefault="00F56E68" w:rsidP="00F03091">
      <w:pPr>
        <w:rPr>
          <w:sz w:val="16"/>
          <w:szCs w:val="16"/>
        </w:rPr>
      </w:pPr>
    </w:p>
    <w:p w:rsidR="00F56E68" w:rsidRDefault="00F56E68" w:rsidP="00F03091">
      <w:pPr>
        <w:rPr>
          <w:sz w:val="16"/>
          <w:szCs w:val="16"/>
        </w:rPr>
      </w:pPr>
    </w:p>
    <w:p w:rsidR="008957B1" w:rsidRDefault="008957B1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Responsabile del procedimento</w:t>
      </w:r>
    </w:p>
    <w:p w:rsidR="008957B1" w:rsidRDefault="008957B1">
      <w:pPr>
        <w:pStyle w:val="NoSpacing"/>
        <w:jc w:val="both"/>
        <w:rPr>
          <w:sz w:val="16"/>
          <w:szCs w:val="16"/>
        </w:rPr>
      </w:pPr>
      <w:smartTag w:uri="urn:schemas-microsoft-com:office:smarttags" w:element="PersonName">
        <w:smartTagPr>
          <w:attr w:name="ProductID" w:val="Gianna Benintendi"/>
        </w:smartTagPr>
        <w:r>
          <w:rPr>
            <w:sz w:val="16"/>
            <w:szCs w:val="16"/>
          </w:rPr>
          <w:t>Gianna Benintendi</w:t>
        </w:r>
      </w:smartTag>
    </w:p>
    <w:p w:rsidR="00F562D1" w:rsidRDefault="008957B1" w:rsidP="008957B1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041-2620985</w:t>
      </w:r>
    </w:p>
    <w:p w:rsidR="00F56E68" w:rsidRDefault="008957B1" w:rsidP="008957B1">
      <w:pPr>
        <w:pStyle w:val="NoSpacing"/>
        <w:jc w:val="both"/>
        <w:rPr>
          <w:sz w:val="16"/>
          <w:szCs w:val="16"/>
        </w:rPr>
      </w:pPr>
      <w:hyperlink r:id="rId6" w:history="1">
        <w:r w:rsidRPr="00B96FFB">
          <w:rPr>
            <w:rStyle w:val="Collegamentoipertestuale"/>
            <w:sz w:val="16"/>
            <w:szCs w:val="16"/>
          </w:rPr>
          <w:t>gianna.benintendi@istruzione.it</w:t>
        </w:r>
      </w:hyperlink>
    </w:p>
    <w:sectPr w:rsidR="00F56E68">
      <w:pgSz w:w="11906" w:h="16838"/>
      <w:pgMar w:top="426" w:right="1134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81DDC"/>
    <w:rsid w:val="000327BF"/>
    <w:rsid w:val="0003476A"/>
    <w:rsid w:val="00040BFD"/>
    <w:rsid w:val="000539FF"/>
    <w:rsid w:val="000637AC"/>
    <w:rsid w:val="00064B89"/>
    <w:rsid w:val="000856BC"/>
    <w:rsid w:val="00091A39"/>
    <w:rsid w:val="000A7C21"/>
    <w:rsid w:val="000B08BD"/>
    <w:rsid w:val="000C5EC9"/>
    <w:rsid w:val="000E04E6"/>
    <w:rsid w:val="000F6FE0"/>
    <w:rsid w:val="00136083"/>
    <w:rsid w:val="00172E66"/>
    <w:rsid w:val="001855FE"/>
    <w:rsid w:val="001C3C04"/>
    <w:rsid w:val="001F200E"/>
    <w:rsid w:val="00204CC9"/>
    <w:rsid w:val="00207D38"/>
    <w:rsid w:val="00235F69"/>
    <w:rsid w:val="00247EF8"/>
    <w:rsid w:val="00247F06"/>
    <w:rsid w:val="003049B9"/>
    <w:rsid w:val="00331D2C"/>
    <w:rsid w:val="003448BB"/>
    <w:rsid w:val="0037049A"/>
    <w:rsid w:val="00383B5B"/>
    <w:rsid w:val="003B3F88"/>
    <w:rsid w:val="003B44CA"/>
    <w:rsid w:val="003C4A3D"/>
    <w:rsid w:val="003E1423"/>
    <w:rsid w:val="003F3264"/>
    <w:rsid w:val="0041093B"/>
    <w:rsid w:val="00411FB8"/>
    <w:rsid w:val="004200BA"/>
    <w:rsid w:val="004708C4"/>
    <w:rsid w:val="004708F1"/>
    <w:rsid w:val="00481DDC"/>
    <w:rsid w:val="004829A4"/>
    <w:rsid w:val="00486676"/>
    <w:rsid w:val="00487AC2"/>
    <w:rsid w:val="004A7543"/>
    <w:rsid w:val="004B5D5B"/>
    <w:rsid w:val="004D2B8E"/>
    <w:rsid w:val="004D32E1"/>
    <w:rsid w:val="004F0B6C"/>
    <w:rsid w:val="004F13F4"/>
    <w:rsid w:val="00500288"/>
    <w:rsid w:val="00513495"/>
    <w:rsid w:val="005336DF"/>
    <w:rsid w:val="00540507"/>
    <w:rsid w:val="00545D0A"/>
    <w:rsid w:val="005A7863"/>
    <w:rsid w:val="005B1CFC"/>
    <w:rsid w:val="005B7A94"/>
    <w:rsid w:val="006032DD"/>
    <w:rsid w:val="00607A42"/>
    <w:rsid w:val="00610899"/>
    <w:rsid w:val="00614049"/>
    <w:rsid w:val="00614840"/>
    <w:rsid w:val="006217BB"/>
    <w:rsid w:val="00650B76"/>
    <w:rsid w:val="00650DBA"/>
    <w:rsid w:val="00652BE3"/>
    <w:rsid w:val="00655A77"/>
    <w:rsid w:val="00662B21"/>
    <w:rsid w:val="00662CFA"/>
    <w:rsid w:val="00676C1C"/>
    <w:rsid w:val="00685854"/>
    <w:rsid w:val="006F3F69"/>
    <w:rsid w:val="007478C7"/>
    <w:rsid w:val="0075441C"/>
    <w:rsid w:val="00770487"/>
    <w:rsid w:val="00786D2B"/>
    <w:rsid w:val="00793FA2"/>
    <w:rsid w:val="007B03F4"/>
    <w:rsid w:val="007B1914"/>
    <w:rsid w:val="007E5081"/>
    <w:rsid w:val="007F3B34"/>
    <w:rsid w:val="0080035A"/>
    <w:rsid w:val="00833E54"/>
    <w:rsid w:val="0084158C"/>
    <w:rsid w:val="00843F01"/>
    <w:rsid w:val="00864C92"/>
    <w:rsid w:val="00876D79"/>
    <w:rsid w:val="008957B1"/>
    <w:rsid w:val="008A44BF"/>
    <w:rsid w:val="008B097D"/>
    <w:rsid w:val="008C38A9"/>
    <w:rsid w:val="008C5BE4"/>
    <w:rsid w:val="008D220B"/>
    <w:rsid w:val="008D6A4A"/>
    <w:rsid w:val="008F6CE2"/>
    <w:rsid w:val="00915E42"/>
    <w:rsid w:val="0092278F"/>
    <w:rsid w:val="009304F5"/>
    <w:rsid w:val="00961D61"/>
    <w:rsid w:val="009730C3"/>
    <w:rsid w:val="00984C29"/>
    <w:rsid w:val="00993EA8"/>
    <w:rsid w:val="009C15CC"/>
    <w:rsid w:val="00A279A2"/>
    <w:rsid w:val="00A27DED"/>
    <w:rsid w:val="00A41473"/>
    <w:rsid w:val="00A8734B"/>
    <w:rsid w:val="00A95341"/>
    <w:rsid w:val="00AB1CCE"/>
    <w:rsid w:val="00AE6ACD"/>
    <w:rsid w:val="00AF153F"/>
    <w:rsid w:val="00B168BE"/>
    <w:rsid w:val="00B21EA5"/>
    <w:rsid w:val="00B23209"/>
    <w:rsid w:val="00B30770"/>
    <w:rsid w:val="00B35D85"/>
    <w:rsid w:val="00B56393"/>
    <w:rsid w:val="00B57163"/>
    <w:rsid w:val="00B63799"/>
    <w:rsid w:val="00B80879"/>
    <w:rsid w:val="00B87001"/>
    <w:rsid w:val="00BB41FA"/>
    <w:rsid w:val="00BE65C3"/>
    <w:rsid w:val="00C256C8"/>
    <w:rsid w:val="00C56DEC"/>
    <w:rsid w:val="00C90F3D"/>
    <w:rsid w:val="00C95ECC"/>
    <w:rsid w:val="00CA5C21"/>
    <w:rsid w:val="00CB182D"/>
    <w:rsid w:val="00CC79B2"/>
    <w:rsid w:val="00CD2208"/>
    <w:rsid w:val="00CE1E8A"/>
    <w:rsid w:val="00D06B76"/>
    <w:rsid w:val="00D24322"/>
    <w:rsid w:val="00D25A29"/>
    <w:rsid w:val="00D65705"/>
    <w:rsid w:val="00D859DD"/>
    <w:rsid w:val="00DB3630"/>
    <w:rsid w:val="00DF6FA3"/>
    <w:rsid w:val="00E40CA8"/>
    <w:rsid w:val="00E53534"/>
    <w:rsid w:val="00E765A5"/>
    <w:rsid w:val="00E81C3A"/>
    <w:rsid w:val="00E94638"/>
    <w:rsid w:val="00EB2B35"/>
    <w:rsid w:val="00EE3BD0"/>
    <w:rsid w:val="00EF072A"/>
    <w:rsid w:val="00F03091"/>
    <w:rsid w:val="00F075BD"/>
    <w:rsid w:val="00F23835"/>
    <w:rsid w:val="00F341B6"/>
    <w:rsid w:val="00F474E2"/>
    <w:rsid w:val="00F562D1"/>
    <w:rsid w:val="00F56E68"/>
    <w:rsid w:val="00F73841"/>
    <w:rsid w:val="00F9076E"/>
    <w:rsid w:val="00FA0D4A"/>
    <w:rsid w:val="00FA6D2B"/>
    <w:rsid w:val="00FD7ADB"/>
    <w:rsid w:val="00FE41C5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0C5EC9"/>
    <w:pPr>
      <w:keepNext/>
      <w:widowControl w:val="0"/>
      <w:jc w:val="center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semiHidden/>
    <w:rsid w:val="00481DD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rsid w:val="00E9463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Collegamentoipertestuale">
    <w:name w:val="Hyperlink"/>
    <w:rsid w:val="006032D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8C5BE4"/>
    <w:pPr>
      <w:jc w:val="center"/>
    </w:pPr>
    <w:rPr>
      <w:i/>
      <w:sz w:val="56"/>
    </w:rPr>
  </w:style>
  <w:style w:type="paragraph" w:styleId="Titolo">
    <w:name w:val="Title"/>
    <w:basedOn w:val="Normale"/>
    <w:qFormat/>
    <w:rsid w:val="00F73841"/>
    <w:pPr>
      <w:jc w:val="center"/>
    </w:pPr>
    <w:rPr>
      <w:sz w:val="28"/>
    </w:rPr>
  </w:style>
  <w:style w:type="paragraph" w:customStyle="1" w:styleId="NoSpacing">
    <w:name w:val="No Spacing"/>
    <w:rsid w:val="008957B1"/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FF132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nna.benintendi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3480</CharactersWithSpaces>
  <SharedDoc>false</SharedDoc>
  <HLinks>
    <vt:vector size="6" baseType="variant"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mailto:gianna.benintendi@istruzione.it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Gilda Venezia</cp:lastModifiedBy>
  <cp:revision>2</cp:revision>
  <cp:lastPrinted>2016-05-25T10:51:00Z</cp:lastPrinted>
  <dcterms:created xsi:type="dcterms:W3CDTF">2016-05-26T16:38:00Z</dcterms:created>
  <dcterms:modified xsi:type="dcterms:W3CDTF">2016-05-26T16:38:00Z</dcterms:modified>
</cp:coreProperties>
</file>